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B1" w:rsidRDefault="001F4F1C">
      <w:pPr>
        <w:pStyle w:val="30"/>
        <w:framePr w:w="9432" w:h="14204" w:hRule="exact" w:wrap="none" w:vAnchor="page" w:hAnchor="page" w:x="1684" w:y="999"/>
        <w:shd w:val="clear" w:color="auto" w:fill="auto"/>
      </w:pPr>
      <w:r>
        <w:t>Програма</w:t>
      </w:r>
    </w:p>
    <w:p w:rsidR="000B75B1" w:rsidRDefault="001F4F1C">
      <w:pPr>
        <w:pStyle w:val="30"/>
        <w:framePr w:w="9432" w:h="14204" w:hRule="exact" w:wrap="none" w:vAnchor="page" w:hAnchor="page" w:x="1684" w:y="999"/>
        <w:shd w:val="clear" w:color="auto" w:fill="auto"/>
      </w:pPr>
      <w:r>
        <w:t>забезпечення виконання Житомирською обласною державною</w:t>
      </w:r>
      <w:r>
        <w:br/>
        <w:t>адміністрацією повноважень, делегованих обласною радою</w:t>
      </w:r>
    </w:p>
    <w:p w:rsidR="000B75B1" w:rsidRDefault="001F4F1C">
      <w:pPr>
        <w:pStyle w:val="30"/>
        <w:framePr w:w="9432" w:h="14204" w:hRule="exact" w:wrap="none" w:vAnchor="page" w:hAnchor="page" w:x="1684" w:y="999"/>
        <w:shd w:val="clear" w:color="auto" w:fill="auto"/>
        <w:spacing w:after="155"/>
      </w:pPr>
      <w:r>
        <w:t>на 2017-2020 роки</w:t>
      </w:r>
    </w:p>
    <w:p w:rsidR="000B75B1" w:rsidRDefault="001F4F1C">
      <w:pPr>
        <w:pStyle w:val="20"/>
        <w:framePr w:w="9432" w:h="14204" w:hRule="exact" w:wrap="none" w:vAnchor="page" w:hAnchor="page" w:x="1684" w:y="999"/>
        <w:shd w:val="clear" w:color="auto" w:fill="auto"/>
        <w:spacing w:before="0"/>
      </w:pPr>
      <w:r>
        <w:t xml:space="preserve">Відповідно до ст.2 Закону України „Про джерела фінансування органів державної влади” місцеві державні адміністрації </w:t>
      </w:r>
      <w:r>
        <w:t>здійснюють свою діяльність за рахунок бюджетного фінансування в межах, передбачених Законом України про Державний бюджет України</w:t>
      </w:r>
      <w:bookmarkStart w:id="0" w:name="_GoBack"/>
      <w:bookmarkEnd w:id="0"/>
      <w:r>
        <w:t xml:space="preserve"> на відповідний рік.</w:t>
      </w:r>
    </w:p>
    <w:p w:rsidR="000B75B1" w:rsidRDefault="001F4F1C">
      <w:pPr>
        <w:pStyle w:val="20"/>
        <w:framePr w:w="9432" w:h="14204" w:hRule="exact" w:wrap="none" w:vAnchor="page" w:hAnchor="page" w:x="1684" w:y="999"/>
        <w:shd w:val="clear" w:color="auto" w:fill="auto"/>
        <w:spacing w:before="0" w:after="281"/>
      </w:pPr>
      <w:r>
        <w:t>Відповідно до Закону України „Про Державний бюджет України на 2019 рік” видатки на інші поточні по структур</w:t>
      </w:r>
      <w:r>
        <w:t>них підрозділів облдержадміністрації було забезпечено лише на 10,7 відсотка до потреби.</w:t>
      </w:r>
    </w:p>
    <w:p w:rsidR="000B75B1" w:rsidRDefault="001F4F1C">
      <w:pPr>
        <w:pStyle w:val="20"/>
        <w:framePr w:w="9432" w:h="14204" w:hRule="exact" w:wrap="none" w:vAnchor="page" w:hAnchor="page" w:x="1684" w:y="999"/>
        <w:shd w:val="clear" w:color="auto" w:fill="auto"/>
        <w:spacing w:before="0" w:after="0" w:line="346" w:lineRule="exact"/>
      </w:pPr>
      <w:r>
        <w:t>Рішенням обласної ради від 22.12.2016 № 423 затверджено Програму забезпечення виконання Житомирською обласною державною адміністрацією повноважень, делегованих обласною</w:t>
      </w:r>
      <w:r>
        <w:t xml:space="preserve"> радою на 2017- 2020 роки. Метою програми є створення умов для належного забезпечення діяльності обласної державної адміністрації щодо виконання делегованих обласною радою повноважень відповідно до законів України “Про місцеві державні адміністрації”, “Про</w:t>
      </w:r>
      <w:r>
        <w:t xml:space="preserve"> місцеве самоврядування в Україні”, створення умов для динамічного, збалансованого соціально-економічного розвитку області, підвищення дієвості управлінських рішень та покращення системи регіонального державного управління в цілому, розвиток співпраці та п</w:t>
      </w:r>
      <w:r>
        <w:t>осилення взаємодії органів виконавчої влади з органами місцевого самоврядування.</w:t>
      </w:r>
    </w:p>
    <w:p w:rsidR="000B75B1" w:rsidRDefault="001F4F1C">
      <w:pPr>
        <w:pStyle w:val="20"/>
        <w:framePr w:w="9432" w:h="14204" w:hRule="exact" w:wrap="none" w:vAnchor="page" w:hAnchor="page" w:x="1684" w:y="999"/>
        <w:shd w:val="clear" w:color="auto" w:fill="auto"/>
        <w:spacing w:before="0" w:after="124" w:line="326" w:lineRule="exact"/>
      </w:pPr>
      <w:r>
        <w:t xml:space="preserve">На виконання програми у 2019 році з обласного бюджету було спрямовано </w:t>
      </w:r>
      <w:r>
        <w:rPr>
          <w:rStyle w:val="21"/>
        </w:rPr>
        <w:t>7883,5 тис.грн.</w:t>
      </w:r>
    </w:p>
    <w:p w:rsidR="000B75B1" w:rsidRDefault="001F4F1C">
      <w:pPr>
        <w:pStyle w:val="20"/>
        <w:framePr w:w="9432" w:h="14204" w:hRule="exact" w:wrap="none" w:vAnchor="page" w:hAnchor="page" w:x="1684" w:y="999"/>
        <w:shd w:val="clear" w:color="auto" w:fill="auto"/>
        <w:spacing w:before="0"/>
      </w:pPr>
      <w:r>
        <w:t>Відповідно до постанови Кабінету Міністрів України від 09.11.2016 №787 "Про видатки на оп</w:t>
      </w:r>
      <w:r>
        <w:t>лату праці працівникам місцевих державних адміністрацій" та з метою відновлення видатків на заробітну плату з нарахуванням зменшених згідно розпорядження Кабінету Міністрів України від 20.03.2019 №165-р спрямовано на заробітну плату з нарахуваннями для стр</w:t>
      </w:r>
      <w:r>
        <w:t xml:space="preserve">уктурних підрозділів облдержадміністрації </w:t>
      </w:r>
      <w:r>
        <w:rPr>
          <w:rStyle w:val="21"/>
        </w:rPr>
        <w:t>1303,5 тис.грн.</w:t>
      </w:r>
    </w:p>
    <w:p w:rsidR="000B75B1" w:rsidRDefault="001F4F1C">
      <w:pPr>
        <w:pStyle w:val="20"/>
        <w:framePr w:w="9432" w:h="14204" w:hRule="exact" w:wrap="none" w:vAnchor="page" w:hAnchor="page" w:x="1684" w:y="999"/>
        <w:shd w:val="clear" w:color="auto" w:fill="auto"/>
        <w:spacing w:before="0" w:after="0"/>
      </w:pPr>
      <w:r>
        <w:t>Згідно звернення комунальної установи по експлуатації адмінбудинків обласної ради щодо своєчасних розрахунків за енергоносії, покриття витрат з експлуатаційних послуг та наданих розрахунків по струк</w:t>
      </w:r>
      <w:r>
        <w:t xml:space="preserve">турних підрозділах облдержадміністрації виділено кошти з обласного бюджету у сумі </w:t>
      </w:r>
      <w:r>
        <w:rPr>
          <w:rStyle w:val="21"/>
        </w:rPr>
        <w:t xml:space="preserve">3416,5 тис.грн. </w:t>
      </w:r>
      <w:r>
        <w:t xml:space="preserve">На інші поточні потреби структурних підрозділів облдержадміністрації </w:t>
      </w:r>
      <w:r>
        <w:rPr>
          <w:rStyle w:val="21"/>
        </w:rPr>
        <w:t xml:space="preserve">3163,5 тис.грн., </w:t>
      </w:r>
      <w:r>
        <w:t>в тому числі 1000,0 тис.грн. на експлуатаційно-технічне обслуговування а</w:t>
      </w:r>
      <w:r>
        <w:t>паратури системи оповіщення, 457,7 тис.грн. для придбання автомобіля.</w:t>
      </w:r>
    </w:p>
    <w:p w:rsidR="000B75B1" w:rsidRDefault="000B75B1">
      <w:pPr>
        <w:rPr>
          <w:sz w:val="2"/>
          <w:szCs w:val="2"/>
        </w:rPr>
      </w:pPr>
    </w:p>
    <w:sectPr w:rsidR="000B75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1C" w:rsidRDefault="001F4F1C">
      <w:r>
        <w:separator/>
      </w:r>
    </w:p>
  </w:endnote>
  <w:endnote w:type="continuationSeparator" w:id="0">
    <w:p w:rsidR="001F4F1C" w:rsidRDefault="001F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1C" w:rsidRDefault="001F4F1C"/>
  </w:footnote>
  <w:footnote w:type="continuationSeparator" w:id="0">
    <w:p w:rsidR="001F4F1C" w:rsidRDefault="001F4F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B1"/>
    <w:rsid w:val="000B75B1"/>
    <w:rsid w:val="001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Лідія Серафімович</dc:creator>
  <cp:lastModifiedBy>Лідія Серафімович</cp:lastModifiedBy>
  <cp:revision>1</cp:revision>
  <dcterms:created xsi:type="dcterms:W3CDTF">2020-02-24T07:11:00Z</dcterms:created>
  <dcterms:modified xsi:type="dcterms:W3CDTF">2020-02-24T07:12:00Z</dcterms:modified>
</cp:coreProperties>
</file>